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03" w:rsidRDefault="000F4C03" w:rsidP="000F4C03">
      <w:pPr>
        <w:pStyle w:val="Sinespaciado"/>
        <w:jc w:val="both"/>
        <w:rPr>
          <w:b/>
          <w:color w:val="0000FF"/>
        </w:rPr>
      </w:pPr>
      <w:bookmarkStart w:id="0" w:name="_GoBack"/>
      <w:bookmarkEnd w:id="0"/>
    </w:p>
    <w:p w:rsidR="000F4C03" w:rsidRDefault="000F4C03" w:rsidP="000F4C03">
      <w:pPr>
        <w:pStyle w:val="Sinespaciado"/>
        <w:jc w:val="both"/>
        <w:rPr>
          <w:b/>
          <w:color w:val="0000FF"/>
        </w:rPr>
      </w:pPr>
    </w:p>
    <w:p w:rsidR="00E05D2A" w:rsidRPr="00E05D2A" w:rsidRDefault="00E05D2A" w:rsidP="000F4C03">
      <w:pPr>
        <w:pStyle w:val="Sinespaciado"/>
        <w:jc w:val="both"/>
        <w:rPr>
          <w:b/>
        </w:rPr>
      </w:pPr>
      <w:r w:rsidRPr="00E05D2A">
        <w:rPr>
          <w:b/>
        </w:rPr>
        <w:t>UNA NUEVA MEDIDA DEL EFECTO DE LAS INTERVENCIONES SANITARIAS</w:t>
      </w:r>
    </w:p>
    <w:p w:rsidR="00E05D2A" w:rsidRDefault="00E05D2A" w:rsidP="000F4C03">
      <w:pPr>
        <w:pStyle w:val="Sinespaciado"/>
        <w:jc w:val="both"/>
        <w:rPr>
          <w:b/>
          <w:color w:val="0000FF"/>
        </w:rPr>
      </w:pPr>
    </w:p>
    <w:p w:rsidR="008D1824" w:rsidRPr="00E05D2A" w:rsidRDefault="00E05D2A" w:rsidP="00E05D2A">
      <w:pPr>
        <w:pStyle w:val="Sinespaciado"/>
        <w:jc w:val="both"/>
        <w:rPr>
          <w:color w:val="993300"/>
        </w:rPr>
      </w:pPr>
      <w:r>
        <w:t xml:space="preserve">En 2018 </w:t>
      </w:r>
      <w:r w:rsidRPr="00194DD4">
        <w:t xml:space="preserve">la Oficina de </w:t>
      </w:r>
      <w:proofErr w:type="spellStart"/>
      <w:r w:rsidRPr="00194DD4">
        <w:t>Eval</w:t>
      </w:r>
      <w:proofErr w:type="spellEnd"/>
      <w:r w:rsidRPr="00194DD4">
        <w:t xml:space="preserve"> </w:t>
      </w:r>
      <w:proofErr w:type="spellStart"/>
      <w:r w:rsidRPr="00194DD4">
        <w:t>Mtos</w:t>
      </w:r>
      <w:proofErr w:type="spellEnd"/>
      <w:r w:rsidRPr="00194DD4">
        <w:t xml:space="preserve"> del SES </w:t>
      </w:r>
      <w:r>
        <w:t xml:space="preserve">ha introducido </w:t>
      </w:r>
      <w:r w:rsidRPr="00194DD4">
        <w:t>en sus evaluaciones</w:t>
      </w:r>
      <w:r>
        <w:t xml:space="preserve"> una nueva medida del efecto de las intervenciones sanitarias</w:t>
      </w:r>
      <w:r w:rsidR="00194DD4" w:rsidRPr="00194DD4">
        <w:t>:</w:t>
      </w:r>
      <w:r w:rsidR="008D1824" w:rsidRPr="00194DD4">
        <w:t xml:space="preserve"> </w:t>
      </w:r>
      <w:r w:rsidR="00194DD4" w:rsidRPr="00E05D2A">
        <w:rPr>
          <w:b/>
        </w:rPr>
        <w:t xml:space="preserve">a) </w:t>
      </w:r>
      <w:r w:rsidR="008D1824" w:rsidRPr="00E05D2A">
        <w:rPr>
          <w:b/>
          <w:i/>
          <w:color w:val="993300"/>
          <w:u w:val="single"/>
        </w:rPr>
        <w:t>P</w:t>
      </w:r>
      <w:r w:rsidR="008D1824" w:rsidRPr="00E05D2A">
        <w:rPr>
          <w:color w:val="993300"/>
        </w:rPr>
        <w:t>rolongación de</w:t>
      </w:r>
      <w:r w:rsidR="003C2725" w:rsidRPr="00E05D2A">
        <w:rPr>
          <w:color w:val="993300"/>
        </w:rPr>
        <w:t xml:space="preserve">l </w:t>
      </w:r>
      <w:r w:rsidR="003C2725" w:rsidRPr="00E05D2A">
        <w:rPr>
          <w:b/>
          <w:i/>
          <w:color w:val="993300"/>
          <w:u w:val="single"/>
        </w:rPr>
        <w:t>t</w:t>
      </w:r>
      <w:r w:rsidR="003C2725" w:rsidRPr="00E05D2A">
        <w:rPr>
          <w:color w:val="993300"/>
        </w:rPr>
        <w:t xml:space="preserve">iempo de </w:t>
      </w:r>
      <w:r w:rsidR="003C2725" w:rsidRPr="00E05D2A">
        <w:rPr>
          <w:b/>
          <w:i/>
          <w:color w:val="993300"/>
          <w:u w:val="single"/>
        </w:rPr>
        <w:t>S</w:t>
      </w:r>
      <w:r w:rsidR="003C2725" w:rsidRPr="00E05D2A">
        <w:rPr>
          <w:color w:val="993300"/>
        </w:rPr>
        <w:t>upervivencia (</w:t>
      </w:r>
      <w:proofErr w:type="spellStart"/>
      <w:r w:rsidR="003C2725" w:rsidRPr="00E05D2A">
        <w:rPr>
          <w:color w:val="993300"/>
        </w:rPr>
        <w:t>PtS</w:t>
      </w:r>
      <w:proofErr w:type="spellEnd"/>
      <w:r w:rsidR="003C2725" w:rsidRPr="00E05D2A">
        <w:rPr>
          <w:color w:val="993300"/>
        </w:rPr>
        <w:t>)</w:t>
      </w:r>
      <w:r w:rsidR="00194DD4" w:rsidRPr="00E05D2A">
        <w:rPr>
          <w:color w:val="993300"/>
        </w:rPr>
        <w:t xml:space="preserve">; </w:t>
      </w:r>
      <w:r w:rsidR="00194DD4" w:rsidRPr="00E05D2A">
        <w:rPr>
          <w:b/>
        </w:rPr>
        <w:t>b)</w:t>
      </w:r>
      <w:r w:rsidR="003C2725" w:rsidRPr="00E05D2A">
        <w:t xml:space="preserve"> </w:t>
      </w:r>
      <w:proofErr w:type="spellStart"/>
      <w:r w:rsidR="003C2725" w:rsidRPr="00E05D2A">
        <w:rPr>
          <w:b/>
          <w:i/>
          <w:color w:val="993300"/>
          <w:u w:val="single"/>
        </w:rPr>
        <w:t>P</w:t>
      </w:r>
      <w:r w:rsidR="003C2725" w:rsidRPr="00E05D2A">
        <w:rPr>
          <w:color w:val="993300"/>
        </w:rPr>
        <w:t>rologación</w:t>
      </w:r>
      <w:proofErr w:type="spellEnd"/>
      <w:r w:rsidR="003C2725" w:rsidRPr="00E05D2A">
        <w:rPr>
          <w:color w:val="993300"/>
        </w:rPr>
        <w:t xml:space="preserve"> del </w:t>
      </w:r>
      <w:r w:rsidR="003C2725" w:rsidRPr="00E05D2A">
        <w:rPr>
          <w:b/>
          <w:i/>
          <w:color w:val="993300"/>
          <w:u w:val="single"/>
        </w:rPr>
        <w:t>t</w:t>
      </w:r>
      <w:r w:rsidR="003C2725" w:rsidRPr="00E05D2A">
        <w:rPr>
          <w:color w:val="993300"/>
        </w:rPr>
        <w:t xml:space="preserve">iempo </w:t>
      </w:r>
      <w:r w:rsidR="003C2725" w:rsidRPr="00E05D2A">
        <w:rPr>
          <w:b/>
          <w:i/>
          <w:color w:val="993300"/>
          <w:u w:val="single"/>
        </w:rPr>
        <w:t>S</w:t>
      </w:r>
      <w:r w:rsidR="003C2725" w:rsidRPr="00E05D2A">
        <w:rPr>
          <w:color w:val="993300"/>
        </w:rPr>
        <w:t xml:space="preserve">upervivencia </w:t>
      </w:r>
      <w:r w:rsidR="003C2725" w:rsidRPr="00E05D2A">
        <w:rPr>
          <w:b/>
          <w:i/>
          <w:color w:val="993300"/>
          <w:u w:val="single"/>
        </w:rPr>
        <w:t>L</w:t>
      </w:r>
      <w:r w:rsidR="003C2725" w:rsidRPr="00E05D2A">
        <w:rPr>
          <w:color w:val="993300"/>
        </w:rPr>
        <w:t xml:space="preserve">ibre de </w:t>
      </w:r>
      <w:r w:rsidR="003C2725" w:rsidRPr="00E05D2A">
        <w:rPr>
          <w:b/>
          <w:i/>
          <w:color w:val="993300"/>
          <w:u w:val="single"/>
        </w:rPr>
        <w:t>Ev</w:t>
      </w:r>
      <w:r w:rsidR="003C2725" w:rsidRPr="00E05D2A">
        <w:rPr>
          <w:color w:val="993300"/>
        </w:rPr>
        <w:t>ento (</w:t>
      </w:r>
      <w:proofErr w:type="spellStart"/>
      <w:r w:rsidR="00194DD4" w:rsidRPr="00E05D2A">
        <w:rPr>
          <w:color w:val="993300"/>
        </w:rPr>
        <w:t>PtSLEv</w:t>
      </w:r>
      <w:proofErr w:type="spellEnd"/>
      <w:r w:rsidR="00194DD4" w:rsidRPr="00E05D2A">
        <w:rPr>
          <w:color w:val="993300"/>
        </w:rPr>
        <w:t xml:space="preserve">), y </w:t>
      </w:r>
      <w:r w:rsidR="00194DD4" w:rsidRPr="00E05D2A">
        <w:rPr>
          <w:b/>
        </w:rPr>
        <w:t xml:space="preserve">c) </w:t>
      </w:r>
      <w:r w:rsidR="00194DD4" w:rsidRPr="00E05D2A">
        <w:rPr>
          <w:b/>
          <w:i/>
          <w:color w:val="993300"/>
          <w:u w:val="single"/>
        </w:rPr>
        <w:t>P</w:t>
      </w:r>
      <w:r w:rsidR="00194DD4" w:rsidRPr="00E05D2A">
        <w:rPr>
          <w:color w:val="993300"/>
        </w:rPr>
        <w:t xml:space="preserve">rolongación del </w:t>
      </w:r>
      <w:r w:rsidR="00194DD4" w:rsidRPr="00E05D2A">
        <w:rPr>
          <w:b/>
          <w:i/>
          <w:color w:val="993300"/>
          <w:u w:val="single"/>
        </w:rPr>
        <w:t>t</w:t>
      </w:r>
      <w:r w:rsidR="00194DD4" w:rsidRPr="00E05D2A">
        <w:rPr>
          <w:color w:val="993300"/>
        </w:rPr>
        <w:t xml:space="preserve">iempo con </w:t>
      </w:r>
      <w:r w:rsidR="00194DD4" w:rsidRPr="00E05D2A">
        <w:rPr>
          <w:b/>
          <w:i/>
          <w:color w:val="993300"/>
          <w:u w:val="single"/>
        </w:rPr>
        <w:t>Ev</w:t>
      </w:r>
      <w:r w:rsidR="00194DD4" w:rsidRPr="00E05D2A">
        <w:rPr>
          <w:color w:val="993300"/>
        </w:rPr>
        <w:t>ento (</w:t>
      </w:r>
      <w:proofErr w:type="spellStart"/>
      <w:r w:rsidR="00194DD4" w:rsidRPr="00E05D2A">
        <w:rPr>
          <w:color w:val="993300"/>
        </w:rPr>
        <w:t>PtEv</w:t>
      </w:r>
      <w:proofErr w:type="spellEnd"/>
      <w:r w:rsidR="00194DD4" w:rsidRPr="00E05D2A">
        <w:rPr>
          <w:color w:val="993300"/>
        </w:rPr>
        <w:t>)</w:t>
      </w:r>
    </w:p>
    <w:p w:rsidR="008D1824" w:rsidRDefault="008D1824" w:rsidP="008D1824">
      <w:pPr>
        <w:pStyle w:val="Sinespaciado"/>
        <w:jc w:val="both"/>
      </w:pPr>
    </w:p>
    <w:p w:rsidR="008D1824" w:rsidRDefault="008D1824" w:rsidP="008D1824">
      <w:pPr>
        <w:pStyle w:val="Sinespaciado"/>
        <w:ind w:firstLine="708"/>
        <w:jc w:val="both"/>
      </w:pPr>
      <w:r>
        <w:t xml:space="preserve">La herramienta para el cálculo del área </w:t>
      </w:r>
      <w:r w:rsidR="000F4C03">
        <w:t xml:space="preserve">bajo la curva (mediante el contaje de pixeles) </w:t>
      </w:r>
      <w:r>
        <w:t>es un</w:t>
      </w:r>
      <w:r w:rsidR="000F4C03">
        <w:t xml:space="preserve">a aplicación </w:t>
      </w:r>
      <w:r>
        <w:t xml:space="preserve">de procesamiento de imagen, llamado </w:t>
      </w:r>
      <w:proofErr w:type="spellStart"/>
      <w:r>
        <w:t>Image</w:t>
      </w:r>
      <w:proofErr w:type="spellEnd"/>
      <w:r>
        <w:t xml:space="preserve"> J, programado en Java, desarrollado en </w:t>
      </w:r>
      <w:r w:rsidR="00897072">
        <w:t xml:space="preserve">los </w:t>
      </w:r>
      <w:proofErr w:type="spellStart"/>
      <w:r>
        <w:t>National</w:t>
      </w:r>
      <w:proofErr w:type="spellEnd"/>
      <w:r>
        <w:t xml:space="preserve"> </w:t>
      </w:r>
      <w:proofErr w:type="spellStart"/>
      <w:r>
        <w:t>Institutes</w:t>
      </w:r>
      <w:proofErr w:type="spellEnd"/>
      <w:r>
        <w:t xml:space="preserve"> of </w:t>
      </w:r>
      <w:proofErr w:type="spellStart"/>
      <w:r>
        <w:t>Health</w:t>
      </w:r>
      <w:proofErr w:type="spellEnd"/>
      <w:r>
        <w:t xml:space="preserve">, que puede obtenerse gratuitamente en </w:t>
      </w:r>
      <w:hyperlink r:id="rId4" w:history="1">
        <w:r w:rsidRPr="00D30310">
          <w:rPr>
            <w:rStyle w:val="Hipervnculo"/>
          </w:rPr>
          <w:t>https://imagej.net</w:t>
        </w:r>
      </w:hyperlink>
    </w:p>
    <w:p w:rsidR="008D1824" w:rsidRDefault="008D1824" w:rsidP="008D1824">
      <w:pPr>
        <w:pStyle w:val="Sinespaciado"/>
        <w:jc w:val="both"/>
      </w:pPr>
    </w:p>
    <w:p w:rsidR="000F4C03" w:rsidRDefault="000F4C03" w:rsidP="008D1824">
      <w:pPr>
        <w:pStyle w:val="Sinespaciado"/>
        <w:jc w:val="both"/>
      </w:pPr>
      <w:r>
        <w:tab/>
      </w:r>
      <w:r w:rsidR="00E05D2A">
        <w:t xml:space="preserve">Se adjunta </w:t>
      </w:r>
      <w:r>
        <w:t>la calculadora con las tres posibilidades, para utilizar la que corresponda en cada momen</w:t>
      </w:r>
      <w:r w:rsidR="00E05D2A">
        <w:t>to. Sólo hay que introducir las áreas obtenidas con la aplicación de medir pixeles</w:t>
      </w:r>
      <w:r>
        <w:t xml:space="preserve"> </w:t>
      </w:r>
      <w:r w:rsidR="00E05D2A">
        <w:t xml:space="preserve">(y los demás datos) </w:t>
      </w:r>
      <w:r>
        <w:t xml:space="preserve">en las casillas con fondo amarillo, y </w:t>
      </w:r>
      <w:r w:rsidR="00194DD4">
        <w:t xml:space="preserve">se obtiene automáticamente </w:t>
      </w:r>
      <w:r>
        <w:t xml:space="preserve">la medida del efecto </w:t>
      </w:r>
      <w:r w:rsidR="00194DD4">
        <w:t xml:space="preserve">en </w:t>
      </w:r>
      <w:r w:rsidR="00194DD4" w:rsidRPr="00194DD4">
        <w:rPr>
          <w:b/>
        </w:rPr>
        <w:t>“prolongación del tiempo medio de supervivencia de la población de estudio”</w:t>
      </w:r>
      <w:r w:rsidR="00194DD4">
        <w:t>. No hemos introducido los intervalos de confianza por el momento.</w:t>
      </w:r>
    </w:p>
    <w:p w:rsidR="000F4C03" w:rsidRDefault="000F4C03" w:rsidP="008D1824">
      <w:pPr>
        <w:pStyle w:val="Sinespaciado"/>
        <w:jc w:val="both"/>
      </w:pPr>
    </w:p>
    <w:p w:rsidR="008D1824" w:rsidRPr="008D1824" w:rsidRDefault="00E05D2A" w:rsidP="000F4C03">
      <w:pPr>
        <w:pStyle w:val="Sinespaciado"/>
        <w:jc w:val="both"/>
        <w:rPr>
          <w:color w:val="993300"/>
        </w:rPr>
      </w:pPr>
      <w:r>
        <w:rPr>
          <w:b/>
          <w:color w:val="993300"/>
        </w:rPr>
        <w:t>NOTA</w:t>
      </w:r>
      <w:r w:rsidR="008D1824" w:rsidRPr="008D1824">
        <w:rPr>
          <w:b/>
          <w:color w:val="993300"/>
        </w:rPr>
        <w:t>:</w:t>
      </w:r>
      <w:r w:rsidR="008D1824" w:rsidRPr="008D1824">
        <w:rPr>
          <w:color w:val="993300"/>
        </w:rPr>
        <w:t xml:space="preserve"> El método de medir las áreas es universalmente conocido. Cuando la curva es homogénea, o se puede homogeneizar en una función, las áreas se calculan matemáticamente mediante una sencilla integración (lo inverso a las derivadas). Cuando no se puede integrar, entonces se hace el método tradicional de descomponer el área total en una suma de muchos polígonos, que es tedioso, con el que se estima el límite del área real (nunca tendremos la completa seguridad).</w:t>
      </w:r>
      <w:r w:rsidR="00B97891">
        <w:rPr>
          <w:color w:val="993300"/>
        </w:rPr>
        <w:t xml:space="preserve"> </w:t>
      </w:r>
    </w:p>
    <w:p w:rsidR="00E05D2A" w:rsidRDefault="008D1824" w:rsidP="00E05D2A">
      <w:pPr>
        <w:pStyle w:val="Sinespaciado"/>
        <w:ind w:firstLine="708"/>
        <w:jc w:val="both"/>
        <w:rPr>
          <w:color w:val="993300"/>
        </w:rPr>
      </w:pPr>
      <w:r w:rsidRPr="008D1824">
        <w:rPr>
          <w:color w:val="993300"/>
        </w:rPr>
        <w:t xml:space="preserve">Lo que han hecho los investigadores daneses </w:t>
      </w:r>
      <w:r w:rsidR="00E05D2A">
        <w:rPr>
          <w:color w:val="993300"/>
        </w:rPr>
        <w:t>en los que nos hemos inspirado</w:t>
      </w:r>
      <w:r w:rsidRPr="008D1824">
        <w:rPr>
          <w:color w:val="993300"/>
        </w:rPr>
        <w:t xml:space="preserve"> es conta</w:t>
      </w:r>
      <w:r w:rsidR="00B97891">
        <w:rPr>
          <w:color w:val="993300"/>
        </w:rPr>
        <w:t>r</w:t>
      </w:r>
      <w:r w:rsidRPr="008D1824">
        <w:rPr>
          <w:color w:val="993300"/>
        </w:rPr>
        <w:t xml:space="preserve"> píxeles muy pequeños, y c</w:t>
      </w:r>
      <w:r w:rsidR="00B97891">
        <w:rPr>
          <w:color w:val="993300"/>
        </w:rPr>
        <w:t>ompara</w:t>
      </w:r>
      <w:r w:rsidR="00E05D2A">
        <w:rPr>
          <w:color w:val="993300"/>
        </w:rPr>
        <w:t>r</w:t>
      </w:r>
      <w:r w:rsidR="00B97891">
        <w:rPr>
          <w:color w:val="993300"/>
        </w:rPr>
        <w:t xml:space="preserve"> </w:t>
      </w:r>
      <w:r w:rsidRPr="008D1824">
        <w:rPr>
          <w:color w:val="993300"/>
        </w:rPr>
        <w:t xml:space="preserve">esa medida con la tediosa de la suma de polígonos, que es la científicamente aceptada. En </w:t>
      </w:r>
      <w:r w:rsidR="00B97891">
        <w:rPr>
          <w:color w:val="993300"/>
        </w:rPr>
        <w:t>s</w:t>
      </w:r>
      <w:r w:rsidRPr="008D1824">
        <w:rPr>
          <w:color w:val="993300"/>
        </w:rPr>
        <w:t xml:space="preserve">u investigación obtienen resultados válidos. </w:t>
      </w:r>
    </w:p>
    <w:p w:rsidR="008D1824" w:rsidRPr="008D1824" w:rsidRDefault="008D1824" w:rsidP="00E05D2A">
      <w:pPr>
        <w:pStyle w:val="Sinespaciado"/>
        <w:ind w:firstLine="708"/>
        <w:jc w:val="both"/>
        <w:rPr>
          <w:color w:val="993300"/>
        </w:rPr>
      </w:pPr>
      <w:r w:rsidRPr="008D1824">
        <w:rPr>
          <w:color w:val="993300"/>
        </w:rPr>
        <w:t>Insist</w:t>
      </w:r>
      <w:r w:rsidR="00E05D2A">
        <w:rPr>
          <w:color w:val="993300"/>
        </w:rPr>
        <w:t>imos</w:t>
      </w:r>
      <w:r w:rsidRPr="008D1824">
        <w:rPr>
          <w:color w:val="993300"/>
        </w:rPr>
        <w:t xml:space="preserve"> en que en realidad no nos haría falta medir pixeles, porque podríamos calcular los polígonos (ampliando la imagen), a pesar de ser muy lento y oneroso.</w:t>
      </w:r>
    </w:p>
    <w:p w:rsidR="00EE3964" w:rsidRDefault="00EE3964" w:rsidP="000F4C03">
      <w:pPr>
        <w:rPr>
          <w:noProof/>
        </w:rPr>
        <w:sectPr w:rsidR="00EE3964" w:rsidSect="00194DD4">
          <w:pgSz w:w="11906" w:h="16838"/>
          <w:pgMar w:top="1418" w:right="1701" w:bottom="1418" w:left="1701" w:header="709" w:footer="709" w:gutter="0"/>
          <w:cols w:space="708"/>
          <w:docGrid w:linePitch="360"/>
        </w:sectPr>
      </w:pPr>
      <w:r>
        <w:rPr>
          <w:noProof/>
        </w:rPr>
        <w:br w:type="page"/>
      </w:r>
    </w:p>
    <w:p w:rsidR="00275519" w:rsidRDefault="00275519" w:rsidP="008D1824">
      <w:pPr>
        <w:pStyle w:val="Sinespaciado"/>
        <w:jc w:val="both"/>
      </w:pPr>
    </w:p>
    <w:p w:rsidR="00381BB4" w:rsidRDefault="00381BB4" w:rsidP="008D1824">
      <w:pPr>
        <w:pStyle w:val="Sinespaciado"/>
        <w:jc w:val="both"/>
      </w:pPr>
    </w:p>
    <w:p w:rsidR="008D1824" w:rsidRDefault="008D1824" w:rsidP="008D1824">
      <w:pPr>
        <w:pStyle w:val="Sinespaciado"/>
        <w:jc w:val="both"/>
      </w:pPr>
    </w:p>
    <w:p w:rsidR="008D1824" w:rsidRDefault="008D1824">
      <w:pPr>
        <w:pStyle w:val="Sinespaciado"/>
        <w:jc w:val="both"/>
      </w:pPr>
    </w:p>
    <w:sectPr w:rsidR="008D1824" w:rsidSect="00EE3964">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B4"/>
    <w:rsid w:val="000039CC"/>
    <w:rsid w:val="000109D1"/>
    <w:rsid w:val="00016430"/>
    <w:rsid w:val="0002727C"/>
    <w:rsid w:val="000648D2"/>
    <w:rsid w:val="00077279"/>
    <w:rsid w:val="000865E1"/>
    <w:rsid w:val="000D3BEC"/>
    <w:rsid w:val="000F4C03"/>
    <w:rsid w:val="00172A3E"/>
    <w:rsid w:val="00183FA4"/>
    <w:rsid w:val="00194DD4"/>
    <w:rsid w:val="001A5A08"/>
    <w:rsid w:val="001F0173"/>
    <w:rsid w:val="00275519"/>
    <w:rsid w:val="003356CA"/>
    <w:rsid w:val="00350D3D"/>
    <w:rsid w:val="0037108A"/>
    <w:rsid w:val="00381BB4"/>
    <w:rsid w:val="003849FA"/>
    <w:rsid w:val="003A250B"/>
    <w:rsid w:val="003A593E"/>
    <w:rsid w:val="003C2725"/>
    <w:rsid w:val="003D7235"/>
    <w:rsid w:val="003E66CA"/>
    <w:rsid w:val="0040092D"/>
    <w:rsid w:val="004329A8"/>
    <w:rsid w:val="004505E6"/>
    <w:rsid w:val="004C5D5F"/>
    <w:rsid w:val="004D2D0C"/>
    <w:rsid w:val="004E295A"/>
    <w:rsid w:val="004E72DC"/>
    <w:rsid w:val="004F6663"/>
    <w:rsid w:val="00503042"/>
    <w:rsid w:val="00511C37"/>
    <w:rsid w:val="00574EE2"/>
    <w:rsid w:val="005A6EAF"/>
    <w:rsid w:val="005B1803"/>
    <w:rsid w:val="005E1AAE"/>
    <w:rsid w:val="005F5D37"/>
    <w:rsid w:val="00640291"/>
    <w:rsid w:val="006A28E3"/>
    <w:rsid w:val="006A7F77"/>
    <w:rsid w:val="006C5867"/>
    <w:rsid w:val="00720AAC"/>
    <w:rsid w:val="007238E2"/>
    <w:rsid w:val="00724DCC"/>
    <w:rsid w:val="00727102"/>
    <w:rsid w:val="00741BC7"/>
    <w:rsid w:val="00742C6B"/>
    <w:rsid w:val="00745541"/>
    <w:rsid w:val="0075187C"/>
    <w:rsid w:val="007778E7"/>
    <w:rsid w:val="0078662B"/>
    <w:rsid w:val="007F122E"/>
    <w:rsid w:val="007F45AB"/>
    <w:rsid w:val="008240E6"/>
    <w:rsid w:val="00836830"/>
    <w:rsid w:val="0084612D"/>
    <w:rsid w:val="00856D62"/>
    <w:rsid w:val="00897072"/>
    <w:rsid w:val="008D1824"/>
    <w:rsid w:val="008E087E"/>
    <w:rsid w:val="00901CAB"/>
    <w:rsid w:val="0091116D"/>
    <w:rsid w:val="009252A2"/>
    <w:rsid w:val="009257FA"/>
    <w:rsid w:val="00937DE1"/>
    <w:rsid w:val="00970E48"/>
    <w:rsid w:val="00974C47"/>
    <w:rsid w:val="00974D6F"/>
    <w:rsid w:val="009A1FB7"/>
    <w:rsid w:val="009C4244"/>
    <w:rsid w:val="009D0C8B"/>
    <w:rsid w:val="00A070C7"/>
    <w:rsid w:val="00A1439D"/>
    <w:rsid w:val="00A405C4"/>
    <w:rsid w:val="00A51C72"/>
    <w:rsid w:val="00A601D6"/>
    <w:rsid w:val="00A86292"/>
    <w:rsid w:val="00AA2FCE"/>
    <w:rsid w:val="00AD2E69"/>
    <w:rsid w:val="00AE74B0"/>
    <w:rsid w:val="00B30BFD"/>
    <w:rsid w:val="00B45271"/>
    <w:rsid w:val="00B54D40"/>
    <w:rsid w:val="00B97891"/>
    <w:rsid w:val="00BA2D09"/>
    <w:rsid w:val="00BA5422"/>
    <w:rsid w:val="00BC7684"/>
    <w:rsid w:val="00BE5957"/>
    <w:rsid w:val="00C31D8F"/>
    <w:rsid w:val="00C56340"/>
    <w:rsid w:val="00C75A8F"/>
    <w:rsid w:val="00C85C94"/>
    <w:rsid w:val="00C90259"/>
    <w:rsid w:val="00C9365D"/>
    <w:rsid w:val="00C94272"/>
    <w:rsid w:val="00CE45BC"/>
    <w:rsid w:val="00D31EA9"/>
    <w:rsid w:val="00D33037"/>
    <w:rsid w:val="00D93344"/>
    <w:rsid w:val="00DB30BA"/>
    <w:rsid w:val="00E05D2A"/>
    <w:rsid w:val="00E06B06"/>
    <w:rsid w:val="00E169B7"/>
    <w:rsid w:val="00E178D5"/>
    <w:rsid w:val="00E256D1"/>
    <w:rsid w:val="00E35D75"/>
    <w:rsid w:val="00E570F8"/>
    <w:rsid w:val="00E62AB2"/>
    <w:rsid w:val="00EB4E66"/>
    <w:rsid w:val="00ED6686"/>
    <w:rsid w:val="00EE3964"/>
    <w:rsid w:val="00F15B18"/>
    <w:rsid w:val="00F75D5B"/>
    <w:rsid w:val="00F83B1F"/>
    <w:rsid w:val="00FB0F37"/>
    <w:rsid w:val="00FE2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19C9"/>
  <w15:chartTrackingRefBased/>
  <w15:docId w15:val="{D3237A8D-4C70-40E8-A5B4-19EB652E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1824"/>
    <w:rPr>
      <w:color w:val="0563C1" w:themeColor="hyperlink"/>
      <w:u w:val="single"/>
    </w:rPr>
  </w:style>
  <w:style w:type="character" w:customStyle="1" w:styleId="UnresolvedMention">
    <w:name w:val="Unresolved Mention"/>
    <w:basedOn w:val="Fuentedeprrafopredeter"/>
    <w:uiPriority w:val="99"/>
    <w:semiHidden/>
    <w:unhideWhenUsed/>
    <w:rsid w:val="008D1824"/>
    <w:rPr>
      <w:color w:val="605E5C"/>
      <w:shd w:val="clear" w:color="auto" w:fill="E1DFDD"/>
    </w:rPr>
  </w:style>
  <w:style w:type="paragraph" w:styleId="Sinespaciado">
    <w:name w:val="No Spacing"/>
    <w:uiPriority w:val="1"/>
    <w:qFormat/>
    <w:rsid w:val="008D1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4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agej.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308</Words>
  <Characters>1699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dc:creator>
  <cp:keywords/>
  <dc:description/>
  <cp:lastModifiedBy>Galo</cp:lastModifiedBy>
  <cp:revision>3</cp:revision>
  <dcterms:created xsi:type="dcterms:W3CDTF">2019-07-18T16:33:00Z</dcterms:created>
  <dcterms:modified xsi:type="dcterms:W3CDTF">2019-07-18T16:59:00Z</dcterms:modified>
</cp:coreProperties>
</file>